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  <w:bookmarkStart w:id="0" w:name="RANGE!A1:F23"/>
      <w:bookmarkEnd w:id="0"/>
      <w:r w:rsidRPr="00814451">
        <w:rPr>
          <w:rFonts w:ascii="Calibri" w:eastAsia="Times New Roman" w:hAnsi="Calibri"/>
          <w:b/>
          <w:bCs/>
          <w:sz w:val="32"/>
          <w:lang w:eastAsia="es-MX"/>
        </w:rPr>
        <w:t xml:space="preserve">Validación de la TABLA DE APLICABILIDAD de las obligaciones de transparencia comunes del </w:t>
      </w:r>
    </w:p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  <w:r w:rsidRPr="00814451">
        <w:rPr>
          <w:rFonts w:ascii="Calibri" w:eastAsia="Times New Roman" w:hAnsi="Calibri"/>
          <w:b/>
          <w:bCs/>
          <w:sz w:val="32"/>
          <w:lang w:eastAsia="es-MX"/>
        </w:rPr>
        <w:t>Poder Ejecutivo</w:t>
      </w:r>
    </w:p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</w:p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  <w:r w:rsidRPr="00814451">
        <w:rPr>
          <w:rFonts w:ascii="Calibri" w:eastAsia="Times New Roman" w:hAnsi="Calibri"/>
          <w:b/>
          <w:bCs/>
          <w:sz w:val="32"/>
          <w:lang w:eastAsia="es-MX"/>
        </w:rPr>
        <w:t>Dependencia o entidad: SECRETARÍA DE LAS CULTURAS Y ARTES DE OAXACA.</w:t>
      </w:r>
    </w:p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</w:p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814451" w:rsidRPr="00814451" w:rsidTr="001309A4">
        <w:trPr>
          <w:trHeight w:val="611"/>
        </w:trPr>
        <w:tc>
          <w:tcPr>
            <w:tcW w:w="5672" w:type="dxa"/>
            <w:shd w:val="clear" w:color="auto" w:fill="DBDBDB" w:themeFill="accent3" w:themeFillTint="66"/>
            <w:vAlign w:val="center"/>
          </w:tcPr>
          <w:p w:rsidR="002173B6" w:rsidRPr="00814451" w:rsidRDefault="002173B6" w:rsidP="001309A4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BDBDB" w:themeFill="accent3" w:themeFillTint="66"/>
            <w:vAlign w:val="center"/>
          </w:tcPr>
          <w:p w:rsidR="002173B6" w:rsidRPr="00814451" w:rsidRDefault="002173B6" w:rsidP="001309A4">
            <w:pPr>
              <w:tabs>
                <w:tab w:val="left" w:pos="216"/>
              </w:tabs>
              <w:jc w:val="center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Documento de origen:</w:t>
            </w:r>
          </w:p>
        </w:tc>
      </w:tr>
      <w:tr w:rsidR="00814451" w:rsidRPr="00814451" w:rsidTr="001309A4">
        <w:tc>
          <w:tcPr>
            <w:tcW w:w="567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center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X</w:t>
            </w:r>
          </w:p>
        </w:tc>
      </w:tr>
      <w:tr w:rsidR="00814451" w:rsidRPr="00814451" w:rsidTr="001309A4">
        <w:tc>
          <w:tcPr>
            <w:tcW w:w="567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</w:p>
        </w:tc>
      </w:tr>
      <w:tr w:rsidR="00814451" w:rsidRPr="00814451" w:rsidTr="001309A4">
        <w:tc>
          <w:tcPr>
            <w:tcW w:w="567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</w:p>
        </w:tc>
      </w:tr>
      <w:tr w:rsidR="00814451" w:rsidRPr="00814451" w:rsidTr="001309A4">
        <w:tc>
          <w:tcPr>
            <w:tcW w:w="567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</w:p>
        </w:tc>
      </w:tr>
      <w:tr w:rsidR="002173B6" w:rsidRPr="00814451" w:rsidTr="001309A4">
        <w:tc>
          <w:tcPr>
            <w:tcW w:w="567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  <w:r w:rsidRPr="00814451"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2173B6" w:rsidRPr="00814451" w:rsidRDefault="002173B6" w:rsidP="001309A4">
            <w:pPr>
              <w:tabs>
                <w:tab w:val="left" w:pos="216"/>
              </w:tabs>
              <w:jc w:val="both"/>
              <w:rPr>
                <w:rFonts w:ascii="Calibri" w:eastAsia="Times New Roman" w:hAnsi="Calibri"/>
                <w:b/>
                <w:bCs/>
                <w:sz w:val="32"/>
                <w:lang w:eastAsia="es-MX"/>
              </w:rPr>
            </w:pPr>
          </w:p>
        </w:tc>
      </w:tr>
    </w:tbl>
    <w:p w:rsidR="002173B6" w:rsidRPr="00814451" w:rsidRDefault="002173B6" w:rsidP="002173B6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32"/>
          <w:lang w:eastAsia="es-MX"/>
        </w:rPr>
      </w:pPr>
    </w:p>
    <w:p w:rsidR="005D4BAD" w:rsidRPr="00814451" w:rsidRDefault="005D4BAD" w:rsidP="005D4BAD">
      <w:pPr>
        <w:tabs>
          <w:tab w:val="left" w:pos="216"/>
        </w:tabs>
        <w:ind w:left="70"/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p w:rsidR="005D4BAD" w:rsidRPr="00814451" w:rsidRDefault="005D4BAD" w:rsidP="005D4BAD">
      <w:pPr>
        <w:tabs>
          <w:tab w:val="left" w:pos="216"/>
        </w:tabs>
        <w:ind w:left="70"/>
        <w:jc w:val="both"/>
        <w:rPr>
          <w:rFonts w:ascii="Calibri" w:eastAsia="Times New Roman" w:hAnsi="Calibri"/>
          <w:b/>
          <w:bCs/>
          <w:sz w:val="16"/>
          <w:szCs w:val="16"/>
          <w:lang w:eastAsia="es-MX"/>
        </w:rPr>
      </w:pPr>
    </w:p>
    <w:tbl>
      <w:tblPr>
        <w:tblW w:w="13878" w:type="dxa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30"/>
        <w:gridCol w:w="841"/>
        <w:gridCol w:w="2402"/>
        <w:gridCol w:w="2402"/>
        <w:gridCol w:w="2041"/>
        <w:gridCol w:w="2041"/>
        <w:gridCol w:w="1681"/>
      </w:tblGrid>
      <w:tr w:rsidR="00814451" w:rsidRPr="00814451" w:rsidTr="005665A3">
        <w:trPr>
          <w:trHeight w:val="934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D4BAD" w:rsidRPr="00814451" w:rsidRDefault="005D4BAD" w:rsidP="00583FAD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D4BAD" w:rsidRPr="00814451" w:rsidRDefault="005D4BAD" w:rsidP="00583FAD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FRACCIÓN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D4BAD" w:rsidRPr="00814451" w:rsidRDefault="005D4BAD" w:rsidP="00583FAD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APLICA/NO 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D4BAD" w:rsidRPr="00814451" w:rsidRDefault="005D4BAD" w:rsidP="002173B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MOTIVACIÓN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D4BAD" w:rsidRPr="00814451" w:rsidRDefault="005D4BAD" w:rsidP="002173B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FUNDAMENTO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22519" w:rsidRPr="00814451" w:rsidRDefault="005D4BAD" w:rsidP="002173B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UNIDAD ADMINISTRATIVA</w:t>
            </w:r>
          </w:p>
          <w:p w:rsidR="00722519" w:rsidRPr="00814451" w:rsidRDefault="005D4BAD" w:rsidP="002173B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RESPONSABLE DE GENERAR</w:t>
            </w:r>
          </w:p>
          <w:p w:rsidR="005D4BAD" w:rsidRPr="00814451" w:rsidRDefault="005D4BAD" w:rsidP="002173B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LA INFORMACIÓN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D4BAD" w:rsidRPr="00814451" w:rsidRDefault="002173B6" w:rsidP="00D7362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OBSERVA</w:t>
            </w:r>
            <w:r w:rsidR="00647BBF"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CI</w:t>
            </w:r>
            <w:r w:rsidR="005D4BAD"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ONES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D4BAD" w:rsidRPr="00814451" w:rsidRDefault="005D4BAD" w:rsidP="00D73626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sz w:val="16"/>
                <w:szCs w:val="16"/>
                <w:lang w:eastAsia="es-MX"/>
              </w:rPr>
              <w:t>VALIDACIÓN IAIP</w:t>
            </w:r>
          </w:p>
        </w:tc>
      </w:tr>
      <w:tr w:rsidR="00814451" w:rsidRPr="00814451" w:rsidTr="005665A3">
        <w:trPr>
          <w:trHeight w:val="79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AD" w:rsidRPr="00814451" w:rsidRDefault="005D4BAD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En la Ley Federal y de las Entidades Federativas se contemplará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5D4BAD" w:rsidRPr="00814451" w:rsidRDefault="005D4BAD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AD" w:rsidRPr="00814451" w:rsidRDefault="005D4BAD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 xml:space="preserve">Fracción 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El marco normativo aplicable al sujeto obligado, en el que deberá incluirse leyes,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códigos, reglamentos, decretos de creación, manuales administrativos, reglas de operación, criterios, políticas, entre otros;</w:t>
            </w:r>
          </w:p>
          <w:p w:rsidR="005D4BAD" w:rsidRPr="00814451" w:rsidRDefault="005D4BAD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AD" w:rsidRPr="00814451" w:rsidRDefault="00D73626" w:rsidP="00D7362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SI 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AD" w:rsidRPr="00814451" w:rsidRDefault="00D91652" w:rsidP="00D7362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TODAS LAS OBLIGACIONES DEL SUJETO OBLIGADO ESTÁN APEGADAS A UNA NORMATIVIDAD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AD" w:rsidRPr="00814451" w:rsidRDefault="00D91652" w:rsidP="00D91652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CONSTITUCIÓN POLÍTICA DEL ESTADO LIBRE Y SOBERANO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BAD" w:rsidRPr="00814451" w:rsidRDefault="00D91652" w:rsidP="00D91652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JURÍDICA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D" w:rsidRPr="00814451" w:rsidRDefault="005D4BAD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D" w:rsidRPr="00814451" w:rsidRDefault="001F3549" w:rsidP="0081445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208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47BB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PARA EJERCICIO DE LAS FACULTADES Y EL DESPACHO DE LOS ASUNTOS , ASI COMO POR LA FACILIDAD DE ATENDER ESTOS ULTIMOS, EL SUJETO OBLIGADO SE DIVIDE EN DEPARTAMENTOS Y AREAS ADMINISTRATIVAS, LAS CUALES LO INTEGRAN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47BB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5 DEL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647BB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HUMANOS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facultades de cada Área;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47BB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EXISTE MANUAL DE ORGANIZACIÓN QUE OTORGA FACULTADES A LAS AREAS QUE INTEGRAN AL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MANUAL DE ORGANIZACIÓN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JURIDICA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95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EL SUJETO OBLIGADO MANEJA RECURSOS DE CARÁCTER FEDERAL Y ESTATAL, PARA EL EJERCICIO DE SUS ATRIBUCIONES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CONSTITUCION POLITICA DEL ESTADO LIBRE Y SOBERANO DE OAXACA, ASI COMO EL REGLAMENTO INTERNO DE LA 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SUBSECRETARIA DE PLANEACION ESTRATEGICA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V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VEREFICAR LOS INDICADORES DEL SUJETO OBLIGADO QUE CAUSAN IMPACTO EN LA POBLACION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41 DE LA LEY ORGANICA DEL PODER EJECUTIVO DEL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DEPARTAMENTO DE INFORMACION CULTURAL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VEREFICAR LOS INDICADORES DE CUMPLIMIENTO DEL OBJETIVOS Y METAS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41 DE LA LEY ORGANICA DEL PODER EJECUTIVO DEL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02F48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DEPARTAMENTO DE INFORMACION CULTURAL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62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AL SER SERVIDORES PUBLICOS A CARGO DE UN AREA DEL SUJETO OBLIGADO, LOS CIUDADANOS DEBEN TENER AL ALCANCE DATOS CIERTOS PARA LOCALIZARLOS Y PONERSE EN CONTACTO CON ELLOS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RESPONSABILIDADES DE LOS SERVIDORES PUBLICOS DEL ESTADO Y MUNICIPIOS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HUMANOS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2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VIII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La remuneración bruta y neta de todos los Servidores Públicos de base o de confianza, de todas las percepciones, incluyendo sueldos, prestaciones, gratificaciones, primas, comisiones, dietas, bonos, estímulos, ingresos y sistemas de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compensación, señalando la periodicidad de dicha remuneración;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AL SER SERVIDORES PUBLICOS A CARGO DE UN AREA DEL SUJETO OBLIGADO, LOS CIUDADANOS DEBEN TENER CIERTAS LAS PERCEPCIONES QUE TIENEN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RESPONSABILIDADES DE LOS SERVIDORES PUBLICOS DEL ESTADO Y MUNICIPIOS DE OAXACA, ASI COMO LA LEY DE PROTECCION DE DATOS PERSONALES  DEL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HUMANOS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6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IX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COMPROBAR QUE EL SUJETO OBLIGADO, CUMPLE INTEGRAMENTE CON LOS OBJETIVOS, AUN FUERA DE SU CIRCUNSCRIPCION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63BB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1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TENER CONOCIMIENTOS DEL PERSONAL Y SU MODALIDAD DE ESTE, QUE LABORA EN 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6 DEL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HUMANOS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43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C959A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A358E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APLICA EN TERMINOS DE LO ESTABLECIDO EN LOS LINEAMIENTOS TECNICOS GENERALES PARA LA PUBLICACIÓN, HOMOLOGACIÓN Y ESTANDARIZACIÓN DE LA INFORMACIÓN.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3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EN VIRTUD DE QUE ESA INFORMACION CORRESPONDE A LA SECRETARIA DE LA CONTRALORIA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FB3CCB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47 FRACCIÓN XIV DE LA LEY ORGANICA DEL PODER EJECUTIVO DEL ESTADO DE OAXACA, ASI COMO EL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INFORMACIÓN, LA INFORMACIÓN PODRÁ SER CONSULTADA EN LA PÁGINA ELECTRONICA  www.contraloria.oaxaca.gob.mx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0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E29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OTORGAR ACCESO A LA POBLACION, A LA INFORMACION PUBLICA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7C651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OAXACA, ASI COMO LA LEY DE PROTECCION DE DATOS PERSONALES DEL ESTADO DE OAXACA; LEY ORGANICA DEL PODER EJECUTIVO DEL ESTADO DE OAXACA; Y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7C651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DE TRANSPARENCIA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2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7284E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7284E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97284E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APLICA EN TERMINOS DE LO ESTABLECIDO EN LOS LINEAMIENTOS TECNICOS GENERALES PARA LA PUBLICACIÓN, HOMOLOGACIÓN Y ESTANDARIZACIÓN DE LA INFORMACIÓN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5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...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GARANTIZAR EL SUJETO OBLIGADO LA TRANSPARENCIA DE LOS RECURSOS PARA CUMPLIR CON EL DESPACHO DE LOS ASUNTOS Y OBJETIVOS TRAZADOS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89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7284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DD25C3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Fracción XVII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OTORGAR LA INFORMACION DE LOS SERVIDORES PUBLICOS QUE INTEGRAN AL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0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XVIII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45635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OTORGAR LA INFORMACION DE LOS SERVIDORES PUBLICOS QUE HAN SIDO SANCIONADOS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8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XIX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3627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A LA POBLACION LOS SERVICIOS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3627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trámites, requisitos y formatos que ofrecen;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3627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A LA SOCIEDAD, EL PROCEDIMIENTO COMPLETO PARA LOS TRAMITES DE LOS SERVICIOS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362790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A30ED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59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EL PRESUPUESTO OTORGADO,ASI COMO EL EJERCIDO PARA EL CUMPLIMIENTO DE LOS ASUNTOS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A30ED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OAXACA, 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A30ED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9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LA INFORMACION RELATIVA A ESTA FRACCION NO CORRESPONDE A LAS ATRIBUCIONES DE ESTE SUJETO OBLIGADO CONTENIDAS EN LA LEY ORGANICA DEL PODER EJECUTIVO DEL ESTADO DE OAXACA NI EN SU REGLAMENTO INTERNO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DD25C3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41 DE LA 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97284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INFORMAR A LA OPINION PUBLICA DE AUDITORIAS AL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resultado de la dictaminación de los estados financieros;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INFORMAR A LA POBLACION DE LAS FINANZAS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0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recursos;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A QUE PERSONAS FISICAS O MORALES SE LES BRINDA APOYA PARA SUS SITUACIONES CULTURALES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9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C959A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C0F8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8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XXVIII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LOS DATOS DE LAS ADQUISICIONES REALIZADAS POR EL SUJETO OBLIGADO CON EL SUBSIDIO FEDERAL OTORGADO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ADQUISICIONES, ARRENDAMIENTOS Y SERVICIOS DEL SECTOR PUBLICO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XXIX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CUMPLIR CON LA INFORMACION PUBLICA DE OFICIO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OAXACA, 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DE TRANSPARENCIA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02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VERIFICAR EL DESEMPEÑO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 Y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VERIFICAR EL DESEMPEÑO DEL SUJETO OBLIGADO, ASI COMO SU ESTADO FINANCIERO Y OBJETIVOS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 Y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5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Padrón de proveedores y contratistas;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B173B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DAR A CONOCER A LA SOCIEDAD, LOS CONVENIOS REALIZADOS POR 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1B173B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23DEL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8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inventario de bienes muebles e inmuebles en posesión y propiedad;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COMPROBAR LOS BIENES A CARGO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FF5681">
            <w:pPr>
              <w:rPr>
                <w:lang w:eastAsia="es-MX"/>
              </w:rPr>
            </w:pPr>
            <w:r w:rsidRPr="00814451">
              <w:rPr>
                <w:lang w:eastAsia="es-MX"/>
              </w:rPr>
              <w:t>LEY DE TRANSPARENCIA Y ACCESO A LA INFORMACION PUBLICA PARA EL ESTADO DE OAXACA Y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3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B53B6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HACER EL CONOCIMIENTO LAS RECOMENDACIONES EN DERECHOS HUMANOS REALIZADAS A ESTE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33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PONER A DISPOSICION DE LA SOCIEDAD LAS RESOLUCIONES EN DONDE ESTA IMPLICADO 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 Y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JURIDICA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6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mecanismos de participación ciudadana;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DAR A CONOCER LOS MECANISMOS DE PARTICIPACIÓN CON LA SOCIEDAD.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FF5681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8 FRACCIÓN VII DELREGLAMENTO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XXXVIII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Los programas que ofrecen, incluyendo información sobre la población, objetivo y destino, así como los trámites, tiempos de respuesta,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requisitos y formatos para acceder a los mismos;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74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XXXIX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PONER A DISPOSICION DEL PUBLICO LOS ACUERDOS Y RESOLUCIONES PRONUNCIADOS POR EL COMITÉ DE TRANSPARENCIA DEL SUJETO OBLIGADO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DE TRANSPARENCIA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0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4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estudios financiados con recursos públicos;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4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listado de jubilados y pensionados y el monto que reciben;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7284E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63AA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13F9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PROPORCIONAR LA INFORMACION  DE INGRESOS EXTRAS AL SUJETO OBLIGADO Y EL DESTINO DE ELLOS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RECURSOS FINANCIEROS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4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XLIV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Donaciones hechas a terceros en dinero o en especie;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97284E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APLICA EN TERMINOS DE LO ESTABLECIDO EN LOS LINEAMIENTOS TECNICOS GENERALES PARA LA PUBLICACIÓN, HOMOLOGACIÓN Y ESTANDARIZACIÓN DE LA INFORMACIÓN, EN RELACIÓN A LOS ARTÍCULOS 2 FRACCIÓN XX Y 76 DE LA LEY ESTATAL DE PRESUPUESTO Y RESPONSABILIDAD HACENDARIA.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4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El catálogo de disposición y guía de archivo documental;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FACILITAR LA INFORMACION DE LOS DOCUMENTOS DE ARCHIVO DEL SUJETO OBLIGADO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DE TRANSPARENCIA Y ACCESO A LA INFORMACION PUBLICA PARA EL ESTADO DE OAXACA ASI COMO LA LEY DE ARCHIVOS DEL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UNIDAD DE TRANSPARENCIA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93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EA70AF">
            <w:pPr>
              <w:jc w:val="both"/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 xml:space="preserve">Las actas de sesiones ordinarias y extraordinarias,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lastRenderedPageBreak/>
              <w:t>así como las opiniones y recomendaciones que emitan, en su caso, los consejos consultivos;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A70A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A70A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EA70A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EA70A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EA70AF">
            <w:pPr>
              <w:jc w:val="both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 xml:space="preserve">APLICA EN TERMINOS DE LO ESTABLECIDO EN LOS LINEAMIENTOS TECNICOS GENERALES PARA LA PUBLICACIÓN, </w:t>
            </w: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HOMOLOGACIÓN Y ESTANDARIZACIÓN DE LA INFORMACIÓN, EN RELACIÓN AL ARTÍCULO 25 INCISO C FRACCIÓN VI DE LA CONSTITUCIÓN POLITICA DEL ESTADO LIBRE Y SOBERANO DE OAXACA.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VALIDADA</w:t>
            </w:r>
          </w:p>
        </w:tc>
      </w:tr>
      <w:tr w:rsidR="00814451" w:rsidRPr="00814451" w:rsidTr="005665A3">
        <w:trPr>
          <w:trHeight w:val="13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 </w:t>
            </w:r>
            <w:r w:rsidRPr="0081445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</w:t>
            </w:r>
            <w:r w:rsidRPr="00814451">
              <w:rPr>
                <w:rFonts w:eastAsia="Times New Roman" w:cs="Arial"/>
                <w:i/>
                <w:iCs/>
                <w:sz w:val="16"/>
                <w:szCs w:val="16"/>
                <w:lang w:eastAsia="es-MX"/>
              </w:rPr>
              <w:lastRenderedPageBreak/>
              <w:t>así como, en su caso, la mención de que cuenta con la autorización judicial correspondiente, 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lastRenderedPageBreak/>
              <w:t>NO 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LA INFORMACION RELATIVA A ESTA FRACCION NO CORRESPONDE A LAS ATRIBUCIONES DE ESTE SUJETO OBLIGADO CONTENIDAS EN LA LEY ORGANICA DEL PODER EJECUTIVO DEL ESTADO DE OAXACA NI EN SU REGLAMENTO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ARTICULO 41 DE LA LEY ORGANICA DEL PODER EJECUTIVO DEL ESTADO DE OAXACA, ASI COMO EL REGLAMENTO INTERNO DE LA SECRETARIA DE LAS CULTURAS Y ARTES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  <w:tr w:rsidR="00814451" w:rsidRPr="00814451" w:rsidTr="005665A3">
        <w:trPr>
          <w:trHeight w:val="1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lastRenderedPageBreak/>
              <w:t>Artículo 70</w:t>
            </w: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br/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br/>
              <w:t>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49" w:rsidRPr="00814451" w:rsidRDefault="001F3549" w:rsidP="00583FAD">
            <w:pPr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MX"/>
              </w:rPr>
              <w:t xml:space="preserve">Fracción XLVIII </w:t>
            </w:r>
            <w:r w:rsidRPr="00814451">
              <w:rPr>
                <w:rFonts w:eastAsia="Times New Roman"/>
                <w:i/>
                <w:iCs/>
                <w:sz w:val="16"/>
                <w:szCs w:val="16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583FAD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SI APLICA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PONER A DISPOSICIÓN DE LA CIUDADANÍA LA INFORMACIÓN RELEVANTE QUE VAYA ACONTECIENDO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9" w:rsidRPr="00814451" w:rsidRDefault="001F3549" w:rsidP="00663AAC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LEY ORGANICA DEL PODER EJECUTIVO DEL ESTADO DE OAXACA, LEY DE TRANSPARENCIA Y ACCESO A LA INFORMACIÓN PÚBLICA PARA EL ESTADO DE OAXACA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450C2F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9" w:rsidRPr="00814451" w:rsidRDefault="001F3549" w:rsidP="00583FAD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49" w:rsidRPr="00814451" w:rsidRDefault="001F3549" w:rsidP="00814451">
            <w:pPr>
              <w:jc w:val="center"/>
            </w:pPr>
            <w:r w:rsidRPr="00814451">
              <w:rPr>
                <w:rFonts w:eastAsia="Times New Roman"/>
                <w:sz w:val="16"/>
                <w:szCs w:val="16"/>
                <w:lang w:eastAsia="es-MX"/>
              </w:rPr>
              <w:t>VALIDADA</w:t>
            </w:r>
          </w:p>
        </w:tc>
      </w:tr>
    </w:tbl>
    <w:p w:rsidR="001F3549" w:rsidRPr="00814451" w:rsidRDefault="001F3549" w:rsidP="001F3549">
      <w:pPr>
        <w:spacing w:after="200" w:line="276" w:lineRule="auto"/>
        <w:jc w:val="both"/>
        <w:rPr>
          <w:rFonts w:ascii="Calibri" w:eastAsia="Calibri" w:hAnsi="Calibri"/>
          <w:b/>
          <w:sz w:val="20"/>
          <w:szCs w:val="18"/>
          <w:lang w:val="es-MX" w:eastAsia="en-US"/>
        </w:rPr>
      </w:pPr>
    </w:p>
    <w:p w:rsidR="00814451" w:rsidRPr="00814451" w:rsidRDefault="00814451" w:rsidP="00814451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 w:rsidRPr="00814451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814451" w:rsidRPr="00814451" w:rsidRDefault="00814451" w:rsidP="00814451">
      <w:pPr>
        <w:jc w:val="right"/>
      </w:pPr>
      <w:r w:rsidRPr="00814451">
        <w:t xml:space="preserve">Oaxaca de Juárez </w:t>
      </w:r>
      <w:proofErr w:type="spellStart"/>
      <w:r w:rsidRPr="00814451">
        <w:t>Oax</w:t>
      </w:r>
      <w:proofErr w:type="spellEnd"/>
      <w:r w:rsidRPr="00814451">
        <w:t>., dieciocho  de enero  de dos mil diecisiete.</w:t>
      </w:r>
    </w:p>
    <w:p w:rsidR="00814451" w:rsidRPr="00814451" w:rsidRDefault="00814451" w:rsidP="00814451">
      <w:pPr>
        <w:jc w:val="right"/>
        <w:rPr>
          <w:b/>
          <w:i/>
          <w:sz w:val="18"/>
          <w:szCs w:val="18"/>
        </w:rPr>
      </w:pPr>
    </w:p>
    <w:p w:rsidR="00814451" w:rsidRPr="00814451" w:rsidRDefault="00814451" w:rsidP="00814451">
      <w:pPr>
        <w:jc w:val="center"/>
      </w:pPr>
      <w:r w:rsidRPr="00814451">
        <w:t xml:space="preserve">ELABORÓ                                                                                                                                               </w:t>
      </w:r>
      <w:proofErr w:type="spellStart"/>
      <w:r w:rsidRPr="00814451">
        <w:t>Vo</w:t>
      </w:r>
      <w:proofErr w:type="spellEnd"/>
      <w:r w:rsidRPr="00814451">
        <w:t>. Bo.</w:t>
      </w:r>
    </w:p>
    <w:p w:rsidR="00814451" w:rsidRPr="00814451" w:rsidRDefault="00814451" w:rsidP="00814451">
      <w:pPr>
        <w:jc w:val="center"/>
      </w:pPr>
    </w:p>
    <w:p w:rsidR="00814451" w:rsidRPr="00814451" w:rsidRDefault="00814451" w:rsidP="00814451">
      <w:pPr>
        <w:jc w:val="center"/>
      </w:pPr>
    </w:p>
    <w:p w:rsidR="00814451" w:rsidRPr="00814451" w:rsidRDefault="00814451" w:rsidP="00814451">
      <w:pPr>
        <w:jc w:val="center"/>
        <w:rPr>
          <w:b/>
          <w:sz w:val="18"/>
          <w:szCs w:val="18"/>
        </w:rPr>
      </w:pPr>
      <w:r w:rsidRPr="00814451">
        <w:t>LIC. THOMAS AGUILAR MENDOZA</w:t>
      </w:r>
      <w:r w:rsidRPr="00814451">
        <w:tab/>
      </w:r>
      <w:r w:rsidRPr="00814451">
        <w:tab/>
      </w:r>
      <w:r w:rsidRPr="00814451">
        <w:tab/>
        <w:t xml:space="preserve">                                                     LIC.  RICARDO DORANTES JIMENEZ</w:t>
      </w:r>
    </w:p>
    <w:p w:rsidR="00EB6EDB" w:rsidRPr="00814451" w:rsidRDefault="00EB6EDB" w:rsidP="00814451">
      <w:pPr>
        <w:spacing w:after="200" w:line="276" w:lineRule="auto"/>
        <w:jc w:val="both"/>
        <w:rPr>
          <w:rFonts w:ascii="Arial" w:eastAsia="Times New Roman" w:hAnsi="Arial" w:cs="Arial"/>
          <w:lang w:val="es-ES"/>
        </w:rPr>
      </w:pPr>
      <w:bookmarkStart w:id="1" w:name="_GoBack"/>
      <w:bookmarkEnd w:id="1"/>
    </w:p>
    <w:sectPr w:rsidR="00EB6EDB" w:rsidRPr="00814451" w:rsidSect="005665A3">
      <w:headerReference w:type="default" r:id="rId8"/>
      <w:footerReference w:type="default" r:id="rId9"/>
      <w:pgSz w:w="15842" w:h="12242" w:orient="landscape" w:code="1"/>
      <w:pgMar w:top="1701" w:right="1843" w:bottom="1701" w:left="23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8" w:rsidRDefault="00E70D68" w:rsidP="0082290C">
      <w:r>
        <w:separator/>
      </w:r>
    </w:p>
  </w:endnote>
  <w:endnote w:type="continuationSeparator" w:id="0">
    <w:p w:rsidR="00E70D68" w:rsidRDefault="00E70D68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="00F21C48"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="00F21C48" w:rsidRPr="003F0936">
      <w:rPr>
        <w:color w:val="5B9BD5" w:themeColor="accent1"/>
        <w:sz w:val="20"/>
      </w:rPr>
      <w:fldChar w:fldCharType="separate"/>
    </w:r>
    <w:r w:rsidR="00151B6F" w:rsidRPr="00151B6F">
      <w:rPr>
        <w:noProof/>
        <w:color w:val="5B9BD5" w:themeColor="accent1"/>
        <w:sz w:val="20"/>
        <w:lang w:val="es-ES"/>
      </w:rPr>
      <w:t>18</w:t>
    </w:r>
    <w:r w:rsidR="00F21C48"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fldSimple w:instr="NUMPAGES  \* Arabic  \* MERGEFORMAT">
      <w:r w:rsidR="00151B6F" w:rsidRPr="00151B6F">
        <w:rPr>
          <w:noProof/>
          <w:color w:val="5B9BD5" w:themeColor="accent1"/>
          <w:sz w:val="20"/>
          <w:lang w:val="es-ES"/>
        </w:rPr>
        <w:t>18</w:t>
      </w:r>
    </w:fldSimple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8" w:rsidRDefault="00E70D68" w:rsidP="0082290C">
      <w:r>
        <w:separator/>
      </w:r>
    </w:p>
  </w:footnote>
  <w:footnote w:type="continuationSeparator" w:id="0">
    <w:p w:rsidR="00E70D68" w:rsidRDefault="00E70D68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93" w:rsidRDefault="002173B6" w:rsidP="00A51393">
    <w:pPr>
      <w:pStyle w:val="Encabezado"/>
      <w:tabs>
        <w:tab w:val="left" w:pos="3570"/>
      </w:tabs>
    </w:pPr>
    <w:r>
      <w:rPr>
        <w:rFonts w:ascii="Calibri" w:hAnsi="Calibri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1B39F6EF" wp14:editId="19C2E7EC">
          <wp:simplePos x="0" y="0"/>
          <wp:positionH relativeFrom="column">
            <wp:posOffset>8446135</wp:posOffset>
          </wp:positionH>
          <wp:positionV relativeFrom="paragraph">
            <wp:posOffset>9525</wp:posOffset>
          </wp:positionV>
          <wp:extent cx="914400" cy="80962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2" t="11157" r="8456" b="1062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556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65480BF1" wp14:editId="17FF1A22">
          <wp:simplePos x="0" y="0"/>
          <wp:positionH relativeFrom="column">
            <wp:posOffset>-630555</wp:posOffset>
          </wp:positionH>
          <wp:positionV relativeFrom="paragraph">
            <wp:posOffset>180975</wp:posOffset>
          </wp:positionV>
          <wp:extent cx="1531620" cy="65532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5" t="16177" r="7716" b="1588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393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309A4E50" wp14:editId="2ABB233D">
          <wp:simplePos x="0" y="0"/>
          <wp:positionH relativeFrom="column">
            <wp:posOffset>996315</wp:posOffset>
          </wp:positionH>
          <wp:positionV relativeFrom="paragraph">
            <wp:posOffset>2181860</wp:posOffset>
          </wp:positionV>
          <wp:extent cx="3666490" cy="5105400"/>
          <wp:effectExtent l="0" t="0" r="0" b="0"/>
          <wp:wrapNone/>
          <wp:docPr id="11" name="Imagen 11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510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393" w:rsidRDefault="00A51393" w:rsidP="00A51393">
    <w:pPr>
      <w:pStyle w:val="Encabezado"/>
      <w:tabs>
        <w:tab w:val="left" w:pos="3570"/>
        <w:tab w:val="left" w:pos="3866"/>
      </w:tabs>
      <w:rPr>
        <w:rFonts w:ascii="Helvetica" w:eastAsia="Batang" w:hAnsi="Helvetica" w:cs="Arial"/>
        <w:b/>
        <w:i/>
        <w:sz w:val="20"/>
        <w:szCs w:val="20"/>
      </w:rPr>
    </w:pPr>
    <w:r>
      <w:rPr>
        <w:rFonts w:ascii="Helvetica" w:eastAsia="Batang" w:hAnsi="Helvetica" w:cs="Arial"/>
        <w:b/>
        <w:i/>
        <w:sz w:val="20"/>
        <w:szCs w:val="20"/>
      </w:rPr>
      <w:tab/>
    </w:r>
    <w:r>
      <w:rPr>
        <w:rFonts w:ascii="Helvetica" w:eastAsia="Batang" w:hAnsi="Helvetica" w:cs="Arial"/>
        <w:b/>
        <w:i/>
        <w:sz w:val="20"/>
        <w:szCs w:val="20"/>
      </w:rPr>
      <w:tab/>
    </w:r>
    <w:r>
      <w:rPr>
        <w:rFonts w:ascii="Helvetica" w:eastAsia="Batang" w:hAnsi="Helvetica" w:cs="Arial"/>
        <w:b/>
        <w:i/>
        <w:sz w:val="20"/>
        <w:szCs w:val="20"/>
      </w:rPr>
      <w:tab/>
    </w:r>
  </w:p>
  <w:p w:rsidR="00A51393" w:rsidRPr="002155D5" w:rsidRDefault="00A51393" w:rsidP="00A51393">
    <w:pPr>
      <w:pStyle w:val="Encabezado"/>
      <w:tabs>
        <w:tab w:val="left" w:pos="2985"/>
        <w:tab w:val="left" w:pos="5475"/>
      </w:tabs>
      <w:rPr>
        <w:rFonts w:ascii="Calibri" w:hAnsi="Calibri" w:cs="Arial"/>
        <w:b/>
        <w:sz w:val="16"/>
        <w:szCs w:val="16"/>
      </w:rPr>
    </w:pPr>
  </w:p>
  <w:p w:rsidR="00A51393" w:rsidRDefault="00A51393" w:rsidP="00A51393">
    <w:pPr>
      <w:pStyle w:val="Encabezado"/>
      <w:tabs>
        <w:tab w:val="left" w:pos="2985"/>
        <w:tab w:val="left" w:pos="5475"/>
      </w:tabs>
      <w:jc w:val="center"/>
      <w:rPr>
        <w:rFonts w:ascii="Calibri" w:hAnsi="Calibri" w:cs="Arial"/>
        <w:b/>
        <w:sz w:val="16"/>
        <w:szCs w:val="16"/>
      </w:rPr>
    </w:pPr>
  </w:p>
  <w:p w:rsidR="00A51393" w:rsidRDefault="00A51393" w:rsidP="00A51393">
    <w:pPr>
      <w:pStyle w:val="Encabezado"/>
      <w:tabs>
        <w:tab w:val="left" w:pos="2985"/>
        <w:tab w:val="left" w:pos="5475"/>
      </w:tabs>
      <w:jc w:val="center"/>
      <w:rPr>
        <w:rFonts w:ascii="Calibri" w:hAnsi="Calibri" w:cs="Arial"/>
        <w:b/>
        <w:sz w:val="16"/>
        <w:szCs w:val="16"/>
      </w:rPr>
    </w:pPr>
  </w:p>
  <w:p w:rsidR="00A51393" w:rsidRPr="00EC2AC0" w:rsidRDefault="00A51393" w:rsidP="00A51393">
    <w:pPr>
      <w:pStyle w:val="Encabezado"/>
      <w:tabs>
        <w:tab w:val="left" w:pos="2985"/>
        <w:tab w:val="left" w:pos="5475"/>
      </w:tabs>
      <w:jc w:val="center"/>
      <w:rPr>
        <w:rFonts w:ascii="Calibri" w:hAnsi="Calibri" w:cs="Arial"/>
        <w:b/>
        <w:sz w:val="17"/>
        <w:szCs w:val="17"/>
      </w:rPr>
    </w:pPr>
  </w:p>
  <w:p w:rsidR="007C0556" w:rsidRDefault="002173B6" w:rsidP="00A51393">
    <w:pPr>
      <w:pStyle w:val="Encabezado"/>
      <w:tabs>
        <w:tab w:val="left" w:pos="2985"/>
        <w:tab w:val="left" w:pos="5475"/>
      </w:tabs>
      <w:jc w:val="center"/>
      <w:rPr>
        <w:rFonts w:ascii="Calibri" w:hAnsi="Calibri" w:cs="Arial"/>
        <w:b/>
        <w:sz w:val="17"/>
        <w:szCs w:val="17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439C45" wp14:editId="04CEFD5A">
          <wp:simplePos x="0" y="0"/>
          <wp:positionH relativeFrom="column">
            <wp:posOffset>899160</wp:posOffset>
          </wp:positionH>
          <wp:positionV relativeFrom="paragraph">
            <wp:posOffset>27940</wp:posOffset>
          </wp:positionV>
          <wp:extent cx="7200900" cy="4508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393" w:rsidRPr="00EC2AC0" w:rsidRDefault="00A51393" w:rsidP="00A51393">
    <w:pPr>
      <w:pStyle w:val="Encabezado"/>
      <w:tabs>
        <w:tab w:val="left" w:pos="2985"/>
        <w:tab w:val="left" w:pos="5475"/>
      </w:tabs>
      <w:jc w:val="center"/>
      <w:rPr>
        <w:rFonts w:ascii="Calibri" w:hAnsi="Calibri" w:cs="Arial"/>
        <w:b/>
        <w:sz w:val="17"/>
        <w:szCs w:val="17"/>
      </w:rPr>
    </w:pPr>
    <w:r w:rsidRPr="00EC2AC0">
      <w:rPr>
        <w:rFonts w:ascii="Calibri" w:hAnsi="Calibri" w:cs="Arial"/>
        <w:b/>
        <w:sz w:val="17"/>
        <w:szCs w:val="17"/>
      </w:rPr>
      <w:t>“2016, AÑO DEL FOMENTO A LA LECTURA Y A LA ESCRITURA”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0B"/>
    <w:rsid w:val="000169CB"/>
    <w:rsid w:val="00017F4E"/>
    <w:rsid w:val="0002112B"/>
    <w:rsid w:val="00045F48"/>
    <w:rsid w:val="00076955"/>
    <w:rsid w:val="000D0130"/>
    <w:rsid w:val="000D294D"/>
    <w:rsid w:val="000E5B63"/>
    <w:rsid w:val="001237FB"/>
    <w:rsid w:val="00145410"/>
    <w:rsid w:val="00151B6F"/>
    <w:rsid w:val="00172B1F"/>
    <w:rsid w:val="0019564E"/>
    <w:rsid w:val="001B173B"/>
    <w:rsid w:val="001C0F8C"/>
    <w:rsid w:val="001C7399"/>
    <w:rsid w:val="001F13CE"/>
    <w:rsid w:val="001F3549"/>
    <w:rsid w:val="001F75D8"/>
    <w:rsid w:val="002173B6"/>
    <w:rsid w:val="00230CD0"/>
    <w:rsid w:val="002335CB"/>
    <w:rsid w:val="00242259"/>
    <w:rsid w:val="002642B0"/>
    <w:rsid w:val="00274C65"/>
    <w:rsid w:val="00290B37"/>
    <w:rsid w:val="002960E7"/>
    <w:rsid w:val="002B7141"/>
    <w:rsid w:val="002D62D8"/>
    <w:rsid w:val="002E7EAD"/>
    <w:rsid w:val="002F1EF7"/>
    <w:rsid w:val="00304577"/>
    <w:rsid w:val="003067DE"/>
    <w:rsid w:val="00306F86"/>
    <w:rsid w:val="00326CFC"/>
    <w:rsid w:val="003609D9"/>
    <w:rsid w:val="00362790"/>
    <w:rsid w:val="003659EF"/>
    <w:rsid w:val="00391BDF"/>
    <w:rsid w:val="003A03E1"/>
    <w:rsid w:val="003D30B7"/>
    <w:rsid w:val="003D5AAA"/>
    <w:rsid w:val="003F213E"/>
    <w:rsid w:val="003F4B3B"/>
    <w:rsid w:val="003F6A32"/>
    <w:rsid w:val="00402F48"/>
    <w:rsid w:val="004108EE"/>
    <w:rsid w:val="0044092A"/>
    <w:rsid w:val="00450C2F"/>
    <w:rsid w:val="00450FCD"/>
    <w:rsid w:val="0045147B"/>
    <w:rsid w:val="004622B2"/>
    <w:rsid w:val="00473384"/>
    <w:rsid w:val="00484C43"/>
    <w:rsid w:val="00494B0A"/>
    <w:rsid w:val="004B1364"/>
    <w:rsid w:val="004B5BB3"/>
    <w:rsid w:val="004D2908"/>
    <w:rsid w:val="004D4A0F"/>
    <w:rsid w:val="00502C81"/>
    <w:rsid w:val="00505CDE"/>
    <w:rsid w:val="00540B81"/>
    <w:rsid w:val="00545635"/>
    <w:rsid w:val="00560971"/>
    <w:rsid w:val="005665A3"/>
    <w:rsid w:val="00592C51"/>
    <w:rsid w:val="005B10F3"/>
    <w:rsid w:val="005C0E32"/>
    <w:rsid w:val="005C1B60"/>
    <w:rsid w:val="005D4BAD"/>
    <w:rsid w:val="005D7081"/>
    <w:rsid w:val="005E006F"/>
    <w:rsid w:val="005E4D47"/>
    <w:rsid w:val="005E4FB1"/>
    <w:rsid w:val="005F3F58"/>
    <w:rsid w:val="00613F9D"/>
    <w:rsid w:val="00620909"/>
    <w:rsid w:val="00621060"/>
    <w:rsid w:val="00647BBF"/>
    <w:rsid w:val="0065010B"/>
    <w:rsid w:val="00663AAC"/>
    <w:rsid w:val="00671A06"/>
    <w:rsid w:val="00676AB8"/>
    <w:rsid w:val="00683E14"/>
    <w:rsid w:val="00684682"/>
    <w:rsid w:val="00690DB1"/>
    <w:rsid w:val="0069594E"/>
    <w:rsid w:val="006967C1"/>
    <w:rsid w:val="006A57B8"/>
    <w:rsid w:val="006C1834"/>
    <w:rsid w:val="006D00CD"/>
    <w:rsid w:val="006D612F"/>
    <w:rsid w:val="006E0304"/>
    <w:rsid w:val="006E2990"/>
    <w:rsid w:val="006E2EBC"/>
    <w:rsid w:val="006E7726"/>
    <w:rsid w:val="006F438C"/>
    <w:rsid w:val="00701620"/>
    <w:rsid w:val="007120AB"/>
    <w:rsid w:val="00714E3B"/>
    <w:rsid w:val="00722519"/>
    <w:rsid w:val="00746315"/>
    <w:rsid w:val="00752FFC"/>
    <w:rsid w:val="007610B9"/>
    <w:rsid w:val="0076136C"/>
    <w:rsid w:val="00767445"/>
    <w:rsid w:val="00781544"/>
    <w:rsid w:val="00785068"/>
    <w:rsid w:val="00791238"/>
    <w:rsid w:val="007A606F"/>
    <w:rsid w:val="007B221E"/>
    <w:rsid w:val="007C0556"/>
    <w:rsid w:val="007C651E"/>
    <w:rsid w:val="007E353A"/>
    <w:rsid w:val="007E43EF"/>
    <w:rsid w:val="007F1250"/>
    <w:rsid w:val="007F478F"/>
    <w:rsid w:val="00807000"/>
    <w:rsid w:val="00814451"/>
    <w:rsid w:val="0082048E"/>
    <w:rsid w:val="0082290C"/>
    <w:rsid w:val="00827279"/>
    <w:rsid w:val="00836645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E58C3"/>
    <w:rsid w:val="008F00C4"/>
    <w:rsid w:val="00901250"/>
    <w:rsid w:val="0094437F"/>
    <w:rsid w:val="00963BBD"/>
    <w:rsid w:val="0097284E"/>
    <w:rsid w:val="009B5D1B"/>
    <w:rsid w:val="009C2807"/>
    <w:rsid w:val="009D1005"/>
    <w:rsid w:val="009D3858"/>
    <w:rsid w:val="00A05DA5"/>
    <w:rsid w:val="00A07046"/>
    <w:rsid w:val="00A14F15"/>
    <w:rsid w:val="00A17153"/>
    <w:rsid w:val="00A30EDC"/>
    <w:rsid w:val="00A358EF"/>
    <w:rsid w:val="00A41DA5"/>
    <w:rsid w:val="00A51393"/>
    <w:rsid w:val="00A86C1B"/>
    <w:rsid w:val="00A8792B"/>
    <w:rsid w:val="00AD3441"/>
    <w:rsid w:val="00AD6E0B"/>
    <w:rsid w:val="00AE6129"/>
    <w:rsid w:val="00AF254C"/>
    <w:rsid w:val="00AF2B1B"/>
    <w:rsid w:val="00B10DA8"/>
    <w:rsid w:val="00B230FA"/>
    <w:rsid w:val="00B26AF2"/>
    <w:rsid w:val="00B74F29"/>
    <w:rsid w:val="00B771AE"/>
    <w:rsid w:val="00B815A3"/>
    <w:rsid w:val="00B93DCA"/>
    <w:rsid w:val="00BA6224"/>
    <w:rsid w:val="00BE097C"/>
    <w:rsid w:val="00BE1E99"/>
    <w:rsid w:val="00C14B3A"/>
    <w:rsid w:val="00C22791"/>
    <w:rsid w:val="00C31920"/>
    <w:rsid w:val="00C63627"/>
    <w:rsid w:val="00C67409"/>
    <w:rsid w:val="00C945E2"/>
    <w:rsid w:val="00C959AE"/>
    <w:rsid w:val="00CC4315"/>
    <w:rsid w:val="00CE55F1"/>
    <w:rsid w:val="00D626EC"/>
    <w:rsid w:val="00D73626"/>
    <w:rsid w:val="00D8566D"/>
    <w:rsid w:val="00D879CA"/>
    <w:rsid w:val="00D90A19"/>
    <w:rsid w:val="00D91652"/>
    <w:rsid w:val="00DA7DED"/>
    <w:rsid w:val="00DC1D2D"/>
    <w:rsid w:val="00DD25C3"/>
    <w:rsid w:val="00DE021F"/>
    <w:rsid w:val="00DE345B"/>
    <w:rsid w:val="00DE6A32"/>
    <w:rsid w:val="00DE6F38"/>
    <w:rsid w:val="00DF010E"/>
    <w:rsid w:val="00E060DF"/>
    <w:rsid w:val="00E073E0"/>
    <w:rsid w:val="00E5042B"/>
    <w:rsid w:val="00E50E27"/>
    <w:rsid w:val="00E67EF3"/>
    <w:rsid w:val="00E70D68"/>
    <w:rsid w:val="00EA1DB6"/>
    <w:rsid w:val="00EA70AF"/>
    <w:rsid w:val="00EB53B6"/>
    <w:rsid w:val="00EB6EDB"/>
    <w:rsid w:val="00ED3BD4"/>
    <w:rsid w:val="00ED5218"/>
    <w:rsid w:val="00EF2B1F"/>
    <w:rsid w:val="00F12970"/>
    <w:rsid w:val="00F133F0"/>
    <w:rsid w:val="00F21C48"/>
    <w:rsid w:val="00F31F98"/>
    <w:rsid w:val="00F5742F"/>
    <w:rsid w:val="00F8467A"/>
    <w:rsid w:val="00F95A82"/>
    <w:rsid w:val="00FA3B60"/>
    <w:rsid w:val="00FA499E"/>
    <w:rsid w:val="00FA567E"/>
    <w:rsid w:val="00FB3CCB"/>
    <w:rsid w:val="00FD3445"/>
    <w:rsid w:val="00FF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814451"/>
    <w:pP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34CD-5DA3-4BB3-96E1-2C9BA445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3420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Cotaipo</cp:lastModifiedBy>
  <cp:revision>11</cp:revision>
  <cp:lastPrinted>2017-01-18T01:16:00Z</cp:lastPrinted>
  <dcterms:created xsi:type="dcterms:W3CDTF">2016-11-03T22:12:00Z</dcterms:created>
  <dcterms:modified xsi:type="dcterms:W3CDTF">2017-01-18T01:35:00Z</dcterms:modified>
</cp:coreProperties>
</file>